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630" w:right="0" w:firstLine="0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附件1：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630" w:right="0" w:firstLine="0"/>
        <w:jc w:val="center"/>
        <w:rPr>
          <w:rFonts w:hint="default" w:ascii="Arial" w:hAnsi="Arial" w:cs="Arial" w:eastAsiaTheme="minorEastAsia"/>
          <w:b/>
          <w:i w:val="0"/>
          <w:caps w:val="0"/>
          <w:color w:val="656565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cs="Arial" w:eastAsiaTheme="minorEastAsia"/>
          <w:b/>
          <w:i w:val="0"/>
          <w:caps w:val="0"/>
          <w:color w:val="656565"/>
          <w:spacing w:val="0"/>
          <w:kern w:val="0"/>
          <w:sz w:val="21"/>
          <w:szCs w:val="21"/>
          <w:highlight w:val="yellow"/>
          <w:lang w:val="en-US" w:eastAsia="zh-CN" w:bidi="ar"/>
        </w:rPr>
        <w:t>场（厂）内机动车辆综合智能检测系统采购</w:t>
      </w:r>
      <w:r>
        <w:rPr>
          <w:rFonts w:hint="default" w:ascii="Arial" w:hAnsi="Arial" w:cs="Arial" w:eastAsiaTheme="minorEastAsia"/>
          <w:b/>
          <w:i w:val="0"/>
          <w:caps w:val="0"/>
          <w:color w:val="656565"/>
          <w:spacing w:val="0"/>
          <w:kern w:val="0"/>
          <w:sz w:val="21"/>
          <w:szCs w:val="21"/>
          <w:highlight w:val="yellow"/>
          <w:lang w:val="en-US" w:eastAsia="zh-CN" w:bidi="ar"/>
        </w:rPr>
        <w:t>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630" w:right="0" w:firstLine="0"/>
        <w:jc w:val="center"/>
        <w:rPr>
          <w:rFonts w:hint="default" w:ascii="Arial" w:hAnsi="Arial" w:cs="Arial" w:eastAsiaTheme="minorEastAsia"/>
          <w:b/>
          <w:i w:val="0"/>
          <w:caps w:val="0"/>
          <w:color w:val="656565"/>
          <w:spacing w:val="0"/>
          <w:kern w:val="0"/>
          <w:sz w:val="21"/>
          <w:szCs w:val="21"/>
          <w:highlight w:val="yellow"/>
          <w:lang w:val="en-US" w:eastAsia="zh-CN" w:bidi="ar"/>
        </w:rPr>
      </w:pPr>
      <w:r>
        <w:rPr>
          <w:rFonts w:hint="eastAsia" w:ascii="Arial" w:hAnsi="Arial" w:cs="Arial"/>
          <w:b/>
          <w:i w:val="0"/>
          <w:caps w:val="0"/>
          <w:color w:val="656565"/>
          <w:spacing w:val="0"/>
          <w:kern w:val="0"/>
          <w:sz w:val="21"/>
          <w:szCs w:val="21"/>
          <w:highlight w:val="yellow"/>
          <w:lang w:val="en-US" w:eastAsia="zh-CN" w:bidi="ar"/>
        </w:rPr>
        <w:t>（编号：GDTJFSJCY2023[采]1001号）</w:t>
      </w:r>
    </w:p>
    <w:p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需求文件</w:t>
      </w:r>
    </w:p>
    <w:p>
      <w:pPr>
        <w:numPr>
          <w:ilvl w:val="0"/>
          <w:numId w:val="1"/>
        </w:numPr>
        <w:spacing w:before="156" w:beforeLines="50" w:line="360" w:lineRule="auto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项目采购内容</w:t>
      </w:r>
    </w:p>
    <w:tbl>
      <w:tblPr>
        <w:tblStyle w:val="6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908"/>
        <w:gridCol w:w="2204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 w:cs="宋体"/>
                <w:b/>
                <w:sz w:val="24"/>
                <w:szCs w:val="21"/>
              </w:rPr>
              <w:t>品</w:t>
            </w:r>
            <w:r>
              <w:rPr>
                <w:rFonts w:cs="宋体"/>
                <w:b/>
                <w:sz w:val="24"/>
                <w:szCs w:val="21"/>
              </w:rPr>
              <w:t xml:space="preserve"> </w:t>
            </w:r>
            <w:r>
              <w:rPr>
                <w:rFonts w:hint="eastAsia" w:cs="宋体"/>
                <w:b/>
                <w:sz w:val="24"/>
                <w:szCs w:val="21"/>
              </w:rPr>
              <w:t>名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 w:cs="宋体"/>
                <w:b/>
                <w:sz w:val="24"/>
                <w:szCs w:val="21"/>
              </w:rPr>
              <w:t>规格型号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cs="宋体"/>
                <w:b/>
                <w:sz w:val="24"/>
                <w:szCs w:val="21"/>
              </w:rPr>
            </w:pPr>
            <w:r>
              <w:rPr>
                <w:rFonts w:hint="eastAsia" w:cs="宋体"/>
                <w:b/>
                <w:sz w:val="24"/>
                <w:szCs w:val="21"/>
              </w:rPr>
              <w:t>数量（台</w:t>
            </w:r>
            <w:r>
              <w:rPr>
                <w:rFonts w:hint="eastAsia" w:cs="宋体"/>
                <w:b/>
                <w:sz w:val="24"/>
                <w:szCs w:val="21"/>
                <w:lang w:val="en-US" w:eastAsia="zh-CN"/>
              </w:rPr>
              <w:t>/套</w:t>
            </w:r>
            <w:r>
              <w:rPr>
                <w:rFonts w:hint="eastAsia" w:cs="宋体"/>
                <w:b/>
                <w:sz w:val="24"/>
                <w:szCs w:val="21"/>
              </w:rPr>
              <w:t>）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Cs/>
                <w:color w:val="000000"/>
                <w:spacing w:val="13"/>
                <w:w w:val="93"/>
                <w:sz w:val="24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场（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内机动车辆综合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智能检测系统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  <w:szCs w:val="21"/>
                <w:highlight w:val="yellow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  <w:t>WX-CCZMS-01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24"/>
                <w:szCs w:val="21"/>
                <w:highlight w:val="yellow"/>
                <w:lang w:eastAsia="zh-CN"/>
              </w:rPr>
            </w:pPr>
            <w:r>
              <w:rPr>
                <w:rFonts w:hint="eastAsia" w:cs="宋体"/>
                <w:sz w:val="24"/>
                <w:szCs w:val="21"/>
                <w:highlight w:val="yellow"/>
                <w:lang w:val="en-US" w:eastAsia="zh-CN"/>
              </w:rPr>
              <w:t>4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sz w:val="24"/>
                <w:szCs w:val="21"/>
                <w:highlight w:val="yellow"/>
              </w:rPr>
            </w:pPr>
            <w:r>
              <w:rPr>
                <w:rFonts w:hint="eastAsia"/>
                <w:sz w:val="24"/>
                <w:szCs w:val="21"/>
                <w:highlight w:val="yellow"/>
                <w:lang w:val="en-US" w:eastAsia="zh-CN"/>
              </w:rPr>
              <w:t>188000</w:t>
            </w:r>
            <w:r>
              <w:rPr>
                <w:sz w:val="24"/>
                <w:szCs w:val="21"/>
                <w:highlight w:val="yellow"/>
              </w:rPr>
              <w:t>.00</w:t>
            </w:r>
          </w:p>
        </w:tc>
      </w:tr>
    </w:tbl>
    <w:p>
      <w:pPr>
        <w:numPr>
          <w:ilvl w:val="0"/>
          <w:numId w:val="0"/>
        </w:numPr>
        <w:spacing w:before="156" w:beforeLines="50" w:line="360" w:lineRule="auto"/>
        <w:ind w:leftChars="0"/>
        <w:rPr>
          <w:rFonts w:hint="eastAsia" w:cs="宋体"/>
          <w:b/>
          <w:sz w:val="24"/>
          <w:szCs w:val="21"/>
          <w:lang w:eastAsia="zh-CN"/>
        </w:rPr>
      </w:pPr>
    </w:p>
    <w:p>
      <w:pPr>
        <w:numPr>
          <w:ilvl w:val="0"/>
          <w:numId w:val="0"/>
        </w:numPr>
        <w:spacing w:before="156" w:beforeLines="50" w:line="360" w:lineRule="auto"/>
        <w:ind w:leftChars="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  <w:lang w:eastAsia="zh-CN"/>
        </w:rPr>
        <w:t>一、</w:t>
      </w:r>
      <w:r>
        <w:rPr>
          <w:rFonts w:hint="eastAsia" w:cs="宋体"/>
          <w:b/>
          <w:sz w:val="24"/>
          <w:szCs w:val="21"/>
        </w:rPr>
        <w:t>需求说明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性能要求：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yellow"/>
          <w:lang w:val="en-US" w:eastAsia="zh-CN" w:bidi="ar-SA"/>
        </w:rPr>
        <w:t>（一）主机部分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内置</w:t>
      </w:r>
      <w:r>
        <w:rPr>
          <w:rFonts w:hint="eastAsia" w:ascii="宋体" w:hAnsi="宋体" w:cs="宋体"/>
          <w:sz w:val="24"/>
          <w:highlight w:val="yellow"/>
        </w:rPr>
        <w:t>高精度三轴动态加速度传感器、角速度传感器，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GPS模块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主机重量范围：不大于750g。</w:t>
      </w:r>
    </w:p>
    <w:p>
      <w:pPr>
        <w:pStyle w:val="2"/>
        <w:numPr>
          <w:ilvl w:val="1"/>
          <w:numId w:val="3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主机显示：屏幕触摸尺寸</w:t>
      </w:r>
      <w:r>
        <w:rPr>
          <w:rFonts w:hint="eastAsia" w:ascii="宋体" w:hAnsi="宋体" w:cs="宋体"/>
          <w:sz w:val="24"/>
          <w:highlight w:val="yellow"/>
        </w:rPr>
        <w:t>不小于10cm*5.8cm</w:t>
      </w:r>
      <w:r>
        <w:rPr>
          <w:rFonts w:hint="eastAsia" w:ascii="宋体" w:hAnsi="宋体" w:cs="宋体"/>
          <w:sz w:val="24"/>
          <w:highlight w:val="yellow"/>
          <w:lang w:eastAsia="zh-CN"/>
        </w:rPr>
        <w:t>，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高清电容屏，分辨率≥800*480</w:t>
      </w:r>
      <w:r>
        <w:rPr>
          <w:rFonts w:hint="eastAsia" w:ascii="宋体" w:hAnsi="宋体" w:cs="宋体"/>
          <w:sz w:val="24"/>
          <w:highlight w:val="yellow"/>
        </w:rPr>
        <w:t>。</w:t>
      </w:r>
    </w:p>
    <w:p>
      <w:pPr>
        <w:pStyle w:val="2"/>
        <w:numPr>
          <w:ilvl w:val="1"/>
          <w:numId w:val="3"/>
        </w:numPr>
        <w:spacing w:line="360" w:lineRule="auto"/>
        <w:ind w:left="0" w:leftChars="0" w:firstLine="0" w:firstLineChars="0"/>
        <w:rPr>
          <w:rFonts w:hint="default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主机材质：铝合金</w:t>
      </w:r>
    </w:p>
    <w:p>
      <w:pPr>
        <w:pStyle w:val="2"/>
        <w:numPr>
          <w:ilvl w:val="1"/>
          <w:numId w:val="3"/>
        </w:numPr>
        <w:spacing w:line="360" w:lineRule="auto"/>
        <w:ind w:left="0" w:leftChars="0" w:firstLine="0" w:firstLineChars="0"/>
        <w:rPr>
          <w:rFonts w:hint="default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</w:rPr>
        <w:t>主机整体尺寸约</w:t>
      </w:r>
      <w:r>
        <w:rPr>
          <w:rFonts w:hint="eastAsia" w:ascii="宋体" w:hAnsi="宋体" w:cs="宋体"/>
          <w:sz w:val="24"/>
          <w:highlight w:val="yellow"/>
          <w:lang w:eastAsia="zh-CN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≤</w:t>
      </w:r>
      <w:r>
        <w:rPr>
          <w:rFonts w:hint="eastAsia" w:ascii="宋体" w:hAnsi="宋体" w:cs="宋体"/>
          <w:sz w:val="24"/>
          <w:highlight w:val="yellow"/>
        </w:rPr>
        <w:t>14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c</w:t>
      </w:r>
      <w:r>
        <w:rPr>
          <w:rFonts w:hint="eastAsia" w:ascii="宋体" w:hAnsi="宋体" w:cs="宋体"/>
          <w:sz w:val="24"/>
          <w:highlight w:val="yellow"/>
        </w:rPr>
        <w:t>mX10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c</w:t>
      </w:r>
      <w:r>
        <w:rPr>
          <w:rFonts w:hint="eastAsia" w:ascii="宋体" w:hAnsi="宋体" w:cs="宋体"/>
          <w:sz w:val="24"/>
          <w:highlight w:val="yellow"/>
        </w:rPr>
        <w:t>mX4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.</w:t>
      </w:r>
      <w:r>
        <w:rPr>
          <w:rFonts w:hint="eastAsia" w:ascii="宋体" w:hAnsi="宋体" w:cs="宋体"/>
          <w:sz w:val="24"/>
          <w:highlight w:val="yellow"/>
        </w:rPr>
        <w:t>5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c</w:t>
      </w:r>
      <w:r>
        <w:rPr>
          <w:rFonts w:hint="eastAsia" w:ascii="宋体" w:hAnsi="宋体" w:cs="宋体"/>
          <w:sz w:val="24"/>
          <w:highlight w:val="yellow"/>
        </w:rPr>
        <w:t>m。</w:t>
      </w:r>
    </w:p>
    <w:p>
      <w:pPr>
        <w:pStyle w:val="2"/>
        <w:numPr>
          <w:ilvl w:val="1"/>
          <w:numId w:val="3"/>
        </w:numPr>
        <w:spacing w:line="360" w:lineRule="auto"/>
        <w:ind w:left="0" w:leftChars="0" w:firstLine="0" w:firstLineChars="0"/>
        <w:rPr>
          <w:rFonts w:hint="default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背部嵌入磁吸装置：有</w:t>
      </w:r>
    </w:p>
    <w:p>
      <w:pPr>
        <w:pStyle w:val="2"/>
        <w:numPr>
          <w:ilvl w:val="1"/>
          <w:numId w:val="3"/>
        </w:numPr>
        <w:spacing w:line="360" w:lineRule="auto"/>
        <w:ind w:left="0" w:leftChars="0" w:firstLine="0" w:firstLineChars="0"/>
        <w:rPr>
          <w:rFonts w:hint="default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</w:rPr>
        <w:t>外接一个8孔接口兼容8项功能</w:t>
      </w:r>
      <w:r>
        <w:rPr>
          <w:rFonts w:hint="eastAsia" w:ascii="宋体" w:hAnsi="宋体" w:cs="宋体"/>
          <w:sz w:val="24"/>
          <w:highlight w:val="yellow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二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主机</w:t>
      </w:r>
      <w:r>
        <w:rPr>
          <w:rFonts w:hint="eastAsia" w:ascii="宋体" w:hAnsi="宋体" w:cs="宋体"/>
          <w:sz w:val="24"/>
          <w:highlight w:val="yellow"/>
        </w:rPr>
        <w:t>功能要求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2.1、一体化设计理念，一套设备可测量手刹拉力、踏板压力、方向盘转向力</w:t>
      </w: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可扩展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  <w:r>
        <w:rPr>
          <w:rFonts w:hint="eastAsia" w:ascii="宋体" w:hAnsi="宋体" w:cs="宋体"/>
          <w:sz w:val="24"/>
          <w:highlight w:val="yellow"/>
        </w:rPr>
        <w:t>、方向盘转向角</w:t>
      </w: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可扩展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  <w:r>
        <w:rPr>
          <w:rFonts w:hint="eastAsia" w:ascii="宋体" w:hAnsi="宋体" w:cs="宋体"/>
          <w:sz w:val="24"/>
          <w:highlight w:val="yellow"/>
        </w:rPr>
        <w:t>、车辆制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动</w:t>
      </w:r>
      <w:r>
        <w:rPr>
          <w:rFonts w:hint="eastAsia" w:ascii="宋体" w:hAnsi="宋体" w:cs="宋体"/>
          <w:sz w:val="24"/>
          <w:highlight w:val="yellow"/>
        </w:rPr>
        <w:t>速度、制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动</w:t>
      </w:r>
      <w:r>
        <w:rPr>
          <w:rFonts w:hint="eastAsia" w:ascii="宋体" w:hAnsi="宋体" w:cs="宋体"/>
          <w:sz w:val="24"/>
          <w:highlight w:val="yellow"/>
        </w:rPr>
        <w:t>减速度、制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动</w:t>
      </w:r>
      <w:r>
        <w:rPr>
          <w:rFonts w:hint="eastAsia" w:ascii="宋体" w:hAnsi="宋体" w:cs="宋体"/>
          <w:sz w:val="24"/>
          <w:highlight w:val="yellow"/>
        </w:rPr>
        <w:t>距离、门架倾角</w:t>
      </w: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可扩展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  <w:r>
        <w:rPr>
          <w:rFonts w:hint="eastAsia" w:ascii="宋体" w:hAnsi="宋体" w:cs="宋体"/>
          <w:sz w:val="24"/>
          <w:highlight w:val="yellow"/>
        </w:rPr>
        <w:t>、门架下滑量</w:t>
      </w: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可扩展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  <w:r>
        <w:rPr>
          <w:rFonts w:hint="eastAsia" w:ascii="宋体" w:hAnsi="宋体" w:cs="宋体"/>
          <w:sz w:val="24"/>
          <w:highlight w:val="yellow"/>
        </w:rPr>
        <w:t>且符合国家相关检验规程。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、既能主机单独测试，也能蓝牙无线连接平板APP(Android系统)进行测试。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2.4、测试主机可与平板app同步显示数据。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2.5、传感器可自动识别主机，避免误操作，提供加盖制造商公章的软件截图佐证。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2.6、内置GPS模块及加速度测试模块，可获取车辆实时速度，语音提示测试人员操作，提供佐证文件。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yellow"/>
        </w:rPr>
        <w:t>、“手刹拉力”和“踏板压力”测试过程有力值曲线实时显示</w:t>
      </w:r>
      <w:r>
        <w:rPr>
          <w:rFonts w:hint="eastAsia" w:ascii="宋体" w:hAnsi="宋体" w:cs="宋体"/>
          <w:sz w:val="24"/>
          <w:highlight w:val="yellow"/>
          <w:lang w:eastAsia="zh-CN"/>
        </w:rPr>
        <w:t>，</w:t>
      </w:r>
      <w:r>
        <w:rPr>
          <w:rFonts w:hint="eastAsia" w:ascii="宋体" w:hAnsi="宋体" w:cs="宋体"/>
          <w:sz w:val="24"/>
          <w:highlight w:val="yellow"/>
        </w:rPr>
        <w:t>提供加盖制造商公章的软件截图佐证。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2.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yellow"/>
        </w:rPr>
        <w:t>、测试过程中可实时显示测试数据、可存储、可打印可记录的参数。</w:t>
      </w:r>
    </w:p>
    <w:p>
      <w:pPr>
        <w:pStyle w:val="2"/>
        <w:spacing w:line="360" w:lineRule="auto"/>
        <w:rPr>
          <w:rFonts w:hint="eastAsia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2.9、制动距离测试模块可设定速度阈值，保证测试过程符合要求。</w:t>
      </w:r>
    </w:p>
    <w:p>
      <w:pPr>
        <w:pStyle w:val="2"/>
        <w:spacing w:line="360" w:lineRule="auto"/>
        <w:rPr>
          <w:rFonts w:hint="eastAsia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2.10、制动距离模块可同时测量踏板压力。</w:t>
      </w:r>
    </w:p>
    <w:p>
      <w:pPr>
        <w:pStyle w:val="2"/>
        <w:spacing w:line="360" w:lineRule="auto"/>
        <w:rPr>
          <w:rFonts w:hint="default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2.11、踏板力模块、手刹力模块自带压力校准功能，提供软件截图。</w:t>
      </w:r>
    </w:p>
    <w:p>
      <w:pPr>
        <w:spacing w:line="360" w:lineRule="auto"/>
        <w:rPr>
          <w:rFonts w:hint="eastAsia" w:ascii="宋体" w:hAnsi="宋体" w:eastAsia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highlight w:val="yellow"/>
        </w:rPr>
        <w:t>3、技术参数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要求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yellow"/>
        </w:rPr>
        <w:t>、踏板力、手刹力模块：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yellow"/>
        </w:rPr>
        <w:t>.1、测量范围:0-1000N。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yellow"/>
        </w:rPr>
        <w:t>.2、测量分辨率：0.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</w:t>
      </w:r>
      <w:r>
        <w:rPr>
          <w:rFonts w:hint="eastAsia" w:ascii="宋体" w:hAnsi="宋体" w:cs="宋体"/>
          <w:sz w:val="24"/>
          <w:highlight w:val="yellow"/>
        </w:rPr>
        <w:t>1N。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yellow"/>
        </w:rPr>
        <w:t>.3、力值测试误差：±1%FS。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、制停距离模块：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.1、加速度传感器范围：±3g。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.2、加速度传感器精度：±0.1mg。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.3、制停速度范围：0~100km/h。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.4、制停速度精度：±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0.</w:t>
      </w:r>
      <w:r>
        <w:rPr>
          <w:rFonts w:hint="eastAsia" w:ascii="宋体" w:hAnsi="宋体" w:cs="宋体"/>
          <w:sz w:val="24"/>
          <w:highlight w:val="yellow"/>
        </w:rPr>
        <w:t>1km/h。</w:t>
      </w:r>
    </w:p>
    <w:p>
      <w:pPr>
        <w:spacing w:line="360" w:lineRule="auto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>3.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.5、制停距离范围：0~100m。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4、配置要求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yellow"/>
        </w:rPr>
        <w:t>4.1、手刹拉力模块1个、踏板力模块1个,测试主机1个（内置制停距离模块、GPS模块）、充电装置1个、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蓝牙打印机1个、</w:t>
      </w:r>
      <w:r>
        <w:rPr>
          <w:rFonts w:hint="eastAsia" w:ascii="宋体" w:hAnsi="宋体" w:cs="宋体"/>
          <w:sz w:val="24"/>
          <w:highlight w:val="yellow"/>
        </w:rPr>
        <w:t>仪器箱1个、随机资料1份，</w:t>
      </w:r>
    </w:p>
    <w:p>
      <w:pPr>
        <w:spacing w:line="360" w:lineRule="auto"/>
        <w:rPr>
          <w:highlight w:val="yellow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4.2、提供使用单位为甲方的市级或以上市场监督管理局下属质计机构</w:t>
      </w:r>
      <w:r>
        <w:rPr>
          <w:rFonts w:hint="eastAsia" w:ascii="宋体" w:hAnsi="宋体" w:cs="宋体"/>
          <w:sz w:val="24"/>
          <w:highlight w:val="yellow"/>
        </w:rPr>
        <w:t>计量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校准</w:t>
      </w:r>
      <w:r>
        <w:rPr>
          <w:rFonts w:hint="eastAsia" w:ascii="宋体" w:hAnsi="宋体" w:cs="宋体"/>
          <w:sz w:val="24"/>
          <w:highlight w:val="yellow"/>
        </w:rPr>
        <w:t>证书。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计量校准内容涵盖需求说明所列技术参数指标。</w:t>
      </w:r>
    </w:p>
    <w:p>
      <w:pPr>
        <w:spacing w:line="360" w:lineRule="auto"/>
        <w:rPr>
          <w:rFonts w:hint="eastAsia" w:cs="宋体"/>
          <w:b/>
          <w:sz w:val="24"/>
          <w:szCs w:val="21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  <w:lang w:eastAsia="zh-CN"/>
        </w:rPr>
        <w:t>二、</w:t>
      </w:r>
      <w:r>
        <w:rPr>
          <w:rFonts w:hint="eastAsia" w:cs="宋体"/>
          <w:b/>
          <w:sz w:val="24"/>
          <w:szCs w:val="21"/>
        </w:rPr>
        <w:t>商务要求</w:t>
      </w:r>
    </w:p>
    <w:p>
      <w:pPr>
        <w:numPr>
          <w:ilvl w:val="1"/>
          <w:numId w:val="4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交货要求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（1）</w:t>
      </w:r>
      <w:r>
        <w:rPr>
          <w:sz w:val="24"/>
          <w:szCs w:val="21"/>
        </w:rPr>
        <w:t>交货</w:t>
      </w:r>
      <w:r>
        <w:rPr>
          <w:rFonts w:hint="eastAsia"/>
          <w:sz w:val="24"/>
          <w:szCs w:val="21"/>
        </w:rPr>
        <w:t>期：自合同签订之日起</w:t>
      </w:r>
      <w:r>
        <w:rPr>
          <w:rFonts w:hint="eastAsia"/>
          <w:sz w:val="24"/>
          <w:szCs w:val="21"/>
          <w:lang w:val="en-US" w:eastAsia="zh-CN"/>
        </w:rPr>
        <w:t>30</w:t>
      </w:r>
      <w:r>
        <w:rPr>
          <w:rFonts w:hint="eastAsia"/>
          <w:sz w:val="24"/>
          <w:szCs w:val="21"/>
        </w:rPr>
        <w:t>日内完成交付。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（2）</w:t>
      </w:r>
      <w:r>
        <w:rPr>
          <w:sz w:val="24"/>
          <w:szCs w:val="21"/>
        </w:rPr>
        <w:t>交货地点：</w:t>
      </w:r>
      <w:r>
        <w:rPr>
          <w:rFonts w:hint="eastAsia"/>
          <w:sz w:val="24"/>
          <w:szCs w:val="21"/>
        </w:rPr>
        <w:t>采购人指定地点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（3）交货方式：现场交付，送货上门</w:t>
      </w:r>
    </w:p>
    <w:p>
      <w:pPr>
        <w:numPr>
          <w:ilvl w:val="1"/>
          <w:numId w:val="4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验收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hint="eastAsia"/>
          <w:sz w:val="24"/>
          <w:szCs w:val="21"/>
        </w:rPr>
        <w:t>1</w:t>
      </w:r>
      <w:r>
        <w:rPr>
          <w:rFonts w:hint="eastAsia" w:cs="宋体"/>
          <w:sz w:val="24"/>
          <w:szCs w:val="21"/>
        </w:rPr>
        <w:t>）采购人组成验收小组按国家有关规定、规范进行验收，必要时邀请相关的专业人员或机构参与验收。</w:t>
      </w:r>
    </w:p>
    <w:p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hint="eastAsia"/>
          <w:sz w:val="24"/>
          <w:szCs w:val="21"/>
        </w:rPr>
        <w:t>2</w:t>
      </w:r>
      <w:r>
        <w:rPr>
          <w:rFonts w:hint="eastAsia" w:cs="宋体"/>
          <w:sz w:val="24"/>
          <w:szCs w:val="21"/>
        </w:rPr>
        <w:t>）货物为原厂商未启封全新包装，具出厂合格证，序列号、包装箱号与出厂批号一致，并可追索查阅，所有随货物的附件必须齐全。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cs="宋体"/>
          <w:sz w:val="24"/>
          <w:szCs w:val="21"/>
        </w:rPr>
        <w:t>3</w:t>
      </w:r>
      <w:r>
        <w:rPr>
          <w:rFonts w:hint="eastAsia" w:cs="宋体"/>
          <w:sz w:val="24"/>
          <w:szCs w:val="21"/>
        </w:rPr>
        <w:t>）如果产品验收不合格或经计量不合格的，需方有权作更换或退货处理，并由供应商承担全部费用（包括运输、计量、服务费等）。</w:t>
      </w:r>
    </w:p>
    <w:p>
      <w:pPr>
        <w:numPr>
          <w:ilvl w:val="1"/>
          <w:numId w:val="4"/>
        </w:numPr>
        <w:spacing w:line="360" w:lineRule="auto"/>
        <w:ind w:firstLine="482" w:firstLineChars="200"/>
        <w:rPr>
          <w:rFonts w:hint="default" w:eastAsia="宋体"/>
          <w:b/>
          <w:bCs/>
          <w:lang w:val="en-US" w:eastAsia="zh-CN"/>
        </w:rPr>
      </w:pPr>
      <w:r>
        <w:rPr>
          <w:rFonts w:hint="eastAsia" w:cs="宋体"/>
          <w:b/>
          <w:bCs/>
          <w:sz w:val="24"/>
          <w:szCs w:val="21"/>
          <w:lang w:val="en-US" w:eastAsia="zh-CN"/>
        </w:rPr>
        <w:t>培训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宋体"/>
          <w:b/>
          <w:bCs/>
          <w:sz w:val="24"/>
          <w:szCs w:val="21"/>
          <w:lang w:val="en-US" w:eastAsia="zh-CN"/>
        </w:rPr>
        <w:t>无</w:t>
      </w:r>
      <w:bookmarkStart w:id="0" w:name="_GoBack"/>
      <w:bookmarkEnd w:id="0"/>
    </w:p>
    <w:p>
      <w:pPr>
        <w:numPr>
          <w:ilvl w:val="1"/>
          <w:numId w:val="4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质保期及售后服务要求</w:t>
      </w:r>
    </w:p>
    <w:p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cs="宋体"/>
          <w:sz w:val="24"/>
          <w:szCs w:val="21"/>
        </w:rPr>
        <w:t>1</w:t>
      </w:r>
      <w:r>
        <w:rPr>
          <w:rFonts w:hint="eastAsia" w:cs="宋体"/>
          <w:sz w:val="24"/>
          <w:szCs w:val="21"/>
        </w:rPr>
        <w:t>）质保期自货物供货并验收合格签字之日起</w:t>
      </w:r>
      <w:r>
        <w:rPr>
          <w:rFonts w:hint="eastAsia" w:cs="宋体"/>
          <w:sz w:val="24"/>
          <w:szCs w:val="21"/>
          <w:lang w:eastAsia="zh-CN"/>
        </w:rPr>
        <w:t>一</w:t>
      </w:r>
      <w:r>
        <w:rPr>
          <w:rFonts w:hint="eastAsia" w:cs="宋体"/>
          <w:sz w:val="24"/>
          <w:szCs w:val="21"/>
        </w:rPr>
        <w:t>年。</w:t>
      </w:r>
    </w:p>
    <w:p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（2）供应商须设有7×24小时维修服务电话，负责解答用户在货物使用中遇到的问题，及时提出解决问题的建议和方法。</w:t>
      </w:r>
    </w:p>
    <w:p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（3）成交供应商应向采购人提供全方位、及时而有效的技术支持和服务。</w:t>
      </w:r>
    </w:p>
    <w:p>
      <w:pPr>
        <w:numPr>
          <w:ilvl w:val="1"/>
          <w:numId w:val="4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付款方式：</w:t>
      </w:r>
    </w:p>
    <w:p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</w:t>
      </w:r>
      <w:r>
        <w:rPr>
          <w:rFonts w:hint="eastAsia" w:ascii="宋体" w:hAnsi="宋体" w:cs="宋体"/>
          <w:kern w:val="0"/>
          <w:sz w:val="24"/>
        </w:rPr>
        <w:t>本项目合同签署生效后5日内，采购人在收到成交供应商提供的合同总价30%的正式“</w:t>
      </w:r>
      <w:r>
        <w:rPr>
          <w:rFonts w:hint="eastAsia" w:ascii="宋体" w:hAnsi="宋体" w:cs="宋体"/>
          <w:kern w:val="0"/>
          <w:sz w:val="24"/>
          <w:highlight w:val="yellow"/>
        </w:rPr>
        <w:t>增值税专用</w:t>
      </w:r>
      <w:r>
        <w:rPr>
          <w:rFonts w:hint="eastAsia" w:ascii="宋体" w:hAnsi="宋体" w:cs="宋体"/>
          <w:kern w:val="0"/>
          <w:sz w:val="24"/>
        </w:rPr>
        <w:t>”发票后，在30个日历日内，向乙方支付合同总价的30%作为本项目预付款。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（2）合同生效后，成交供应商产品到货并验收合格后，</w:t>
      </w:r>
      <w:r>
        <w:rPr>
          <w:rFonts w:hint="eastAsia" w:ascii="宋体" w:hAnsi="宋体" w:cs="宋体"/>
          <w:kern w:val="0"/>
          <w:sz w:val="24"/>
        </w:rPr>
        <w:t>采购人收到</w:t>
      </w:r>
      <w:r>
        <w:rPr>
          <w:rFonts w:hint="eastAsia" w:cs="宋体"/>
          <w:sz w:val="24"/>
          <w:szCs w:val="21"/>
        </w:rPr>
        <w:t>成交供应商</w:t>
      </w:r>
      <w:r>
        <w:rPr>
          <w:rFonts w:hint="eastAsia" w:ascii="宋体" w:hAnsi="宋体" w:cs="宋体"/>
          <w:kern w:val="0"/>
          <w:sz w:val="24"/>
        </w:rPr>
        <w:t>开具的合同总价70%的合法正规的“</w:t>
      </w:r>
      <w:r>
        <w:rPr>
          <w:rFonts w:hint="eastAsia" w:ascii="宋体" w:hAnsi="宋体" w:cs="宋体"/>
          <w:kern w:val="0"/>
          <w:sz w:val="24"/>
          <w:highlight w:val="yellow"/>
        </w:rPr>
        <w:t>增值税专用</w:t>
      </w:r>
      <w:r>
        <w:rPr>
          <w:rFonts w:hint="eastAsia" w:ascii="宋体" w:hAnsi="宋体" w:cs="宋体"/>
          <w:kern w:val="0"/>
          <w:sz w:val="24"/>
        </w:rPr>
        <w:t>”发票后，在30个日历日内，由采购人向</w:t>
      </w:r>
      <w:r>
        <w:rPr>
          <w:rFonts w:hint="eastAsia" w:cs="宋体"/>
          <w:sz w:val="24"/>
          <w:szCs w:val="21"/>
        </w:rPr>
        <w:t>成交供应商</w:t>
      </w:r>
      <w:r>
        <w:rPr>
          <w:rFonts w:hint="eastAsia" w:ascii="Times New Roman" w:hAnsi="Times New Roman" w:eastAsia="宋体" w:cs="宋体"/>
          <w:sz w:val="24"/>
          <w:szCs w:val="21"/>
        </w:rPr>
        <w:t>支付合同总价的</w:t>
      </w:r>
      <w:r>
        <w:rPr>
          <w:rFonts w:hint="eastAsia" w:ascii="Times New Roman" w:hAnsi="Times New Roman" w:eastAsia="宋体" w:cs="宋体"/>
          <w:sz w:val="24"/>
          <w:szCs w:val="21"/>
          <w:lang w:val="en-US" w:eastAsia="zh-CN"/>
        </w:rPr>
        <w:t>60</w:t>
      </w:r>
      <w:r>
        <w:rPr>
          <w:rFonts w:hint="eastAsia" w:ascii="Times New Roman" w:hAnsi="Times New Roman" w:eastAsia="宋体" w:cs="宋体"/>
          <w:sz w:val="24"/>
          <w:szCs w:val="21"/>
        </w:rPr>
        <w:t>%。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宋体"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1"/>
          <w:lang w:eastAsia="zh-CN"/>
        </w:rPr>
        <w:t>）使用满一年后，在使用部门确认后支付合同总价的</w:t>
      </w:r>
      <w:r>
        <w:rPr>
          <w:rFonts w:hint="eastAsia" w:ascii="Times New Roman" w:hAnsi="Times New Roman" w:eastAsia="宋体" w:cs="宋体"/>
          <w:sz w:val="24"/>
          <w:szCs w:val="21"/>
          <w:lang w:val="en-US" w:eastAsia="zh-CN"/>
        </w:rPr>
        <w:t>10%。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szCs w:val="21"/>
        </w:rPr>
      </w:pPr>
      <w:r>
        <w:rPr>
          <w:rFonts w:hint="eastAsia" w:ascii="Times New Roman" w:hAnsi="Times New Roman" w:eastAsia="宋体" w:cs="宋体"/>
          <w:sz w:val="24"/>
          <w:szCs w:val="21"/>
        </w:rPr>
        <w:t>（</w:t>
      </w:r>
      <w:r>
        <w:rPr>
          <w:rFonts w:hint="eastAsia" w:ascii="Times New Roman" w:hAnsi="Times New Roman" w:eastAsia="宋体" w:cs="宋体"/>
          <w:sz w:val="24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1"/>
        </w:rPr>
        <w:t>）成交供应商需开具相应金额的正式“</w:t>
      </w:r>
      <w:r>
        <w:rPr>
          <w:rFonts w:hint="eastAsia" w:ascii="Times New Roman" w:hAnsi="Times New Roman" w:eastAsia="宋体" w:cs="宋体"/>
          <w:sz w:val="24"/>
          <w:szCs w:val="21"/>
          <w:highlight w:val="yellow"/>
        </w:rPr>
        <w:t>增值税专用</w:t>
      </w:r>
      <w:r>
        <w:rPr>
          <w:rFonts w:hint="eastAsia" w:ascii="Times New Roman" w:hAnsi="Times New Roman" w:eastAsia="宋体" w:cs="宋体"/>
          <w:sz w:val="24"/>
          <w:szCs w:val="21"/>
        </w:rPr>
        <w:t>”发票。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szCs w:val="21"/>
        </w:rPr>
      </w:pPr>
      <w:r>
        <w:rPr>
          <w:rFonts w:hint="eastAsia" w:ascii="Times New Roman" w:hAnsi="Times New Roman" w:eastAsia="宋体" w:cs="宋体"/>
          <w:sz w:val="24"/>
          <w:szCs w:val="21"/>
        </w:rPr>
        <w:t>（</w:t>
      </w:r>
      <w:r>
        <w:rPr>
          <w:rFonts w:hint="eastAsia" w:ascii="Times New Roman" w:hAnsi="Times New Roman" w:eastAsia="宋体" w:cs="宋体"/>
          <w:sz w:val="24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1"/>
        </w:rPr>
        <w:t>）付款形式：采用支票、银行汇付（含电汇）等形式。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354518"/>
    <w:multiLevelType w:val="multilevel"/>
    <w:tmpl w:val="D535451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1">
    <w:nsid w:val="E39CDF6B"/>
    <w:multiLevelType w:val="singleLevel"/>
    <w:tmpl w:val="E39CDF6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B36FE0"/>
    <w:multiLevelType w:val="multilevel"/>
    <w:tmpl w:val="52B36FE0"/>
    <w:lvl w:ilvl="0" w:tentative="0">
      <w:start w:val="2"/>
      <w:numFmt w:val="decimal"/>
      <w:suff w:val="space"/>
      <w:lvlText w:val="%1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suff w:val="space"/>
      <w:lvlText w:val="%1.%2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309" w:firstLine="40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5B73175F"/>
    <w:multiLevelType w:val="multilevel"/>
    <w:tmpl w:val="5B7317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8F"/>
    <w:rsid w:val="000D25FF"/>
    <w:rsid w:val="000D7A54"/>
    <w:rsid w:val="000F6655"/>
    <w:rsid w:val="001516DB"/>
    <w:rsid w:val="00200190"/>
    <w:rsid w:val="002064A1"/>
    <w:rsid w:val="00221247"/>
    <w:rsid w:val="00284685"/>
    <w:rsid w:val="00284D24"/>
    <w:rsid w:val="00313933"/>
    <w:rsid w:val="00343D43"/>
    <w:rsid w:val="003779F1"/>
    <w:rsid w:val="004018A7"/>
    <w:rsid w:val="00472010"/>
    <w:rsid w:val="004E5147"/>
    <w:rsid w:val="00550821"/>
    <w:rsid w:val="00585DB3"/>
    <w:rsid w:val="005A3759"/>
    <w:rsid w:val="005A66D6"/>
    <w:rsid w:val="00606A4A"/>
    <w:rsid w:val="00620FF0"/>
    <w:rsid w:val="006727DA"/>
    <w:rsid w:val="00676ED3"/>
    <w:rsid w:val="006C0566"/>
    <w:rsid w:val="006D067C"/>
    <w:rsid w:val="007665B4"/>
    <w:rsid w:val="00773350"/>
    <w:rsid w:val="00823D73"/>
    <w:rsid w:val="00861C1F"/>
    <w:rsid w:val="008F5148"/>
    <w:rsid w:val="009216A1"/>
    <w:rsid w:val="009338F3"/>
    <w:rsid w:val="00954ECD"/>
    <w:rsid w:val="00954F9B"/>
    <w:rsid w:val="009B1611"/>
    <w:rsid w:val="009C55B4"/>
    <w:rsid w:val="009F6FA4"/>
    <w:rsid w:val="00A061F9"/>
    <w:rsid w:val="00A23E8F"/>
    <w:rsid w:val="00A463AF"/>
    <w:rsid w:val="00B74276"/>
    <w:rsid w:val="00B766E6"/>
    <w:rsid w:val="00CC6D4E"/>
    <w:rsid w:val="00D06BEE"/>
    <w:rsid w:val="00D21DE5"/>
    <w:rsid w:val="00D335B9"/>
    <w:rsid w:val="00D33C55"/>
    <w:rsid w:val="00DA1CD0"/>
    <w:rsid w:val="00DD7C13"/>
    <w:rsid w:val="00E024B9"/>
    <w:rsid w:val="00E70A3D"/>
    <w:rsid w:val="00EA2470"/>
    <w:rsid w:val="00EA30D5"/>
    <w:rsid w:val="00EC0F88"/>
    <w:rsid w:val="00FA7608"/>
    <w:rsid w:val="00FD5BDC"/>
    <w:rsid w:val="03477E65"/>
    <w:rsid w:val="1D0E7866"/>
    <w:rsid w:val="45BD1F64"/>
    <w:rsid w:val="49101673"/>
    <w:rsid w:val="5916001A"/>
    <w:rsid w:val="7A000743"/>
    <w:rsid w:val="7B000216"/>
    <w:rsid w:val="7D501F60"/>
    <w:rsid w:val="7DA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 小四"/>
    <w:qFormat/>
    <w:uiPriority w:val="99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1026</Characters>
  <Lines>8</Lines>
  <Paragraphs>2</Paragraphs>
  <TotalTime>11</TotalTime>
  <ScaleCrop>false</ScaleCrop>
  <LinksUpToDate>false</LinksUpToDate>
  <CharactersWithSpaces>1203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2021-06-18T06:26:00Z</dcterms:created>
  <dc:creator>峣峣</dc:creator>
  <cp:lastModifiedBy>张济斌</cp:lastModifiedBy>
  <dcterms:modified xsi:type="dcterms:W3CDTF">2023-01-31T07:27:12Z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