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630" w:right="0" w:firstLine="0"/>
        <w:jc w:val="left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24"/>
        </w:rPr>
        <w:t>附件1：</w:t>
      </w:r>
      <w:r>
        <w:rPr>
          <w:rFonts w:hint="eastAsia" w:ascii="宋体" w:hAnsi="宋体"/>
          <w:b/>
          <w:bCs/>
          <w:sz w:val="30"/>
          <w:szCs w:val="30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630" w:right="0" w:firstLine="0"/>
        <w:jc w:val="center"/>
        <w:rPr>
          <w:rFonts w:hint="default" w:ascii="Arial" w:hAnsi="Arial" w:cs="Arial" w:eastAsiaTheme="minorEastAsia"/>
          <w:b/>
          <w:i w:val="0"/>
          <w:caps w:val="0"/>
          <w:color w:val="656565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Arial" w:hAnsi="Arial" w:cs="Arial" w:eastAsiaTheme="minorEastAsia"/>
          <w:b/>
          <w:i w:val="0"/>
          <w:caps w:val="0"/>
          <w:color w:val="656565"/>
          <w:spacing w:val="0"/>
          <w:kern w:val="0"/>
          <w:sz w:val="21"/>
          <w:szCs w:val="21"/>
          <w:highlight w:val="yellow"/>
          <w:lang w:val="en-US" w:eastAsia="zh-CN" w:bidi="ar"/>
        </w:rPr>
        <w:t>防爆检验工具及工具箱采购</w:t>
      </w:r>
      <w:r>
        <w:rPr>
          <w:rFonts w:hint="default" w:ascii="Arial" w:hAnsi="Arial" w:cs="Arial" w:eastAsiaTheme="minorEastAsia"/>
          <w:b/>
          <w:i w:val="0"/>
          <w:caps w:val="0"/>
          <w:color w:val="656565"/>
          <w:spacing w:val="0"/>
          <w:kern w:val="0"/>
          <w:sz w:val="21"/>
          <w:szCs w:val="21"/>
          <w:highlight w:val="yellow"/>
          <w:lang w:val="en-US" w:eastAsia="zh-CN" w:bidi="ar"/>
        </w:rPr>
        <w:t>项目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630" w:right="0" w:firstLine="0"/>
        <w:jc w:val="center"/>
        <w:rPr>
          <w:rFonts w:hint="default" w:ascii="Arial" w:hAnsi="Arial" w:cs="Arial" w:eastAsiaTheme="minorEastAsia"/>
          <w:b/>
          <w:i w:val="0"/>
          <w:caps w:val="0"/>
          <w:color w:val="656565"/>
          <w:spacing w:val="0"/>
          <w:kern w:val="0"/>
          <w:sz w:val="21"/>
          <w:szCs w:val="21"/>
          <w:highlight w:val="yellow"/>
          <w:lang w:val="en-US" w:eastAsia="zh-CN" w:bidi="ar"/>
        </w:rPr>
      </w:pPr>
      <w:r>
        <w:rPr>
          <w:rFonts w:hint="eastAsia" w:ascii="Arial" w:hAnsi="Arial" w:cs="Arial"/>
          <w:b/>
          <w:i w:val="0"/>
          <w:caps w:val="0"/>
          <w:color w:val="656565"/>
          <w:spacing w:val="0"/>
          <w:kern w:val="0"/>
          <w:sz w:val="21"/>
          <w:szCs w:val="21"/>
          <w:highlight w:val="yellow"/>
          <w:lang w:val="en-US" w:eastAsia="zh-CN" w:bidi="ar"/>
        </w:rPr>
        <w:t>（编号：GDTJFSJCY2025[采]1001号）</w:t>
      </w:r>
    </w:p>
    <w:p>
      <w:pPr>
        <w:spacing w:line="360" w:lineRule="auto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需求文件</w:t>
      </w:r>
    </w:p>
    <w:p>
      <w:pPr>
        <w:numPr>
          <w:ilvl w:val="0"/>
          <w:numId w:val="1"/>
        </w:numPr>
        <w:spacing w:before="156" w:beforeLines="50" w:line="360" w:lineRule="auto"/>
        <w:rPr>
          <w:rFonts w:cs="宋体"/>
          <w:b/>
          <w:sz w:val="24"/>
          <w:szCs w:val="21"/>
        </w:rPr>
      </w:pPr>
      <w:r>
        <w:rPr>
          <w:rFonts w:hint="eastAsia" w:cs="宋体"/>
          <w:b/>
          <w:sz w:val="24"/>
          <w:szCs w:val="21"/>
        </w:rPr>
        <w:t>项目采购内容</w:t>
      </w:r>
    </w:p>
    <w:tbl>
      <w:tblPr>
        <w:tblStyle w:val="6"/>
        <w:tblW w:w="8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1908"/>
        <w:gridCol w:w="2204"/>
        <w:gridCol w:w="25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63" w:type="dxa"/>
            <w:vAlign w:val="center"/>
          </w:tcPr>
          <w:p>
            <w:pPr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 w:cs="宋体"/>
                <w:b/>
                <w:sz w:val="24"/>
                <w:szCs w:val="21"/>
              </w:rPr>
              <w:t>品</w:t>
            </w:r>
            <w:r>
              <w:rPr>
                <w:rFonts w:cs="宋体"/>
                <w:b/>
                <w:sz w:val="24"/>
                <w:szCs w:val="21"/>
              </w:rPr>
              <w:t xml:space="preserve"> </w:t>
            </w:r>
            <w:r>
              <w:rPr>
                <w:rFonts w:hint="eastAsia" w:cs="宋体"/>
                <w:b/>
                <w:sz w:val="24"/>
                <w:szCs w:val="21"/>
              </w:rPr>
              <w:t>名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 w:cs="宋体"/>
                <w:b/>
                <w:sz w:val="24"/>
                <w:szCs w:val="21"/>
              </w:rPr>
              <w:t>规格型号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cs="宋体"/>
                <w:b/>
                <w:sz w:val="24"/>
                <w:szCs w:val="21"/>
              </w:rPr>
            </w:pPr>
            <w:r>
              <w:rPr>
                <w:rFonts w:hint="eastAsia" w:cs="宋体"/>
                <w:b/>
                <w:sz w:val="24"/>
                <w:szCs w:val="21"/>
              </w:rPr>
              <w:t>数量（台</w:t>
            </w:r>
            <w:r>
              <w:rPr>
                <w:rFonts w:hint="eastAsia" w:cs="宋体"/>
                <w:b/>
                <w:sz w:val="24"/>
                <w:szCs w:val="21"/>
                <w:lang w:val="en-US" w:eastAsia="zh-CN"/>
              </w:rPr>
              <w:t>/套</w:t>
            </w:r>
            <w:r>
              <w:rPr>
                <w:rFonts w:hint="eastAsia" w:cs="宋体"/>
                <w:b/>
                <w:sz w:val="24"/>
                <w:szCs w:val="21"/>
              </w:rPr>
              <w:t>）</w:t>
            </w:r>
          </w:p>
        </w:tc>
        <w:tc>
          <w:tcPr>
            <w:tcW w:w="2578" w:type="dxa"/>
            <w:vAlign w:val="center"/>
          </w:tcPr>
          <w:p>
            <w:pPr>
              <w:jc w:val="center"/>
              <w:rPr>
                <w:b/>
                <w:sz w:val="24"/>
                <w:szCs w:val="21"/>
              </w:rPr>
            </w:pPr>
            <w:r>
              <w:rPr>
                <w:rFonts w:hint="eastAsia"/>
                <w:b/>
                <w:sz w:val="24"/>
                <w:szCs w:val="21"/>
              </w:rPr>
              <w:t>最高限价（元）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96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cs="宋体"/>
                <w:bCs/>
                <w:color w:val="000000"/>
                <w:spacing w:val="13"/>
                <w:w w:val="93"/>
                <w:sz w:val="24"/>
                <w:szCs w:val="21"/>
                <w:highlight w:val="yellow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color w:val="auto"/>
                <w:kern w:val="2"/>
                <w:sz w:val="28"/>
                <w:szCs w:val="28"/>
                <w:lang w:val="en-US" w:eastAsia="zh-CN" w:bidi="ar-SA"/>
              </w:rPr>
              <w:t>防爆检验工具及工具</w:t>
            </w:r>
            <w:bookmarkStart w:id="0" w:name="_GoBack"/>
            <w:bookmarkEnd w:id="0"/>
            <w:r>
              <w:rPr>
                <w:rFonts w:hint="eastAsia" w:asciiTheme="minorHAnsi" w:hAnsiTheme="minorHAnsi" w:eastAsiaTheme="minorEastAsia" w:cstheme="minorBidi"/>
                <w:b/>
                <w:color w:val="auto"/>
                <w:kern w:val="2"/>
                <w:sz w:val="28"/>
                <w:szCs w:val="28"/>
                <w:lang w:val="en-US" w:eastAsia="zh-CN" w:bidi="ar-SA"/>
              </w:rPr>
              <w:t>箱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1"/>
                <w:highlight w:val="yellow"/>
                <w:lang w:val="en-US"/>
              </w:rPr>
            </w:pPr>
            <w:r>
              <w:rPr>
                <w:rFonts w:hint="eastAsia" w:cstheme="minorBidi"/>
                <w:color w:val="auto"/>
                <w:kern w:val="0"/>
                <w:sz w:val="24"/>
                <w:szCs w:val="24"/>
                <w:highlight w:val="yellow"/>
                <w:lang w:val="en-US" w:eastAsia="zh-CN" w:bidi="ar"/>
              </w:rPr>
              <w:t>WX-GJ-FB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hint="eastAsia" w:eastAsia="宋体" w:cs="宋体"/>
                <w:sz w:val="24"/>
                <w:szCs w:val="21"/>
                <w:highlight w:val="yellow"/>
                <w:lang w:eastAsia="zh-CN"/>
              </w:rPr>
            </w:pPr>
            <w:r>
              <w:rPr>
                <w:rFonts w:hint="eastAsia" w:cs="宋体"/>
                <w:sz w:val="24"/>
                <w:szCs w:val="21"/>
                <w:highlight w:val="yellow"/>
                <w:lang w:val="en-US" w:eastAsia="zh-CN"/>
              </w:rPr>
              <w:t>1</w:t>
            </w:r>
          </w:p>
        </w:tc>
        <w:tc>
          <w:tcPr>
            <w:tcW w:w="2578" w:type="dxa"/>
            <w:vAlign w:val="center"/>
          </w:tcPr>
          <w:p>
            <w:pPr>
              <w:jc w:val="center"/>
              <w:rPr>
                <w:sz w:val="24"/>
                <w:szCs w:val="21"/>
                <w:highlight w:val="yellow"/>
              </w:rPr>
            </w:pPr>
            <w:r>
              <w:rPr>
                <w:rFonts w:hint="eastAsia"/>
                <w:sz w:val="24"/>
                <w:szCs w:val="21"/>
                <w:highlight w:val="yellow"/>
                <w:lang w:val="en-US" w:eastAsia="zh-CN"/>
              </w:rPr>
              <w:t>60000</w:t>
            </w:r>
            <w:r>
              <w:rPr>
                <w:sz w:val="24"/>
                <w:szCs w:val="21"/>
                <w:highlight w:val="yellow"/>
              </w:rPr>
              <w:t>.00</w:t>
            </w:r>
          </w:p>
        </w:tc>
      </w:tr>
    </w:tbl>
    <w:p>
      <w:pPr>
        <w:numPr>
          <w:ilvl w:val="0"/>
          <w:numId w:val="0"/>
        </w:numPr>
        <w:spacing w:before="156" w:beforeLines="50" w:line="360" w:lineRule="auto"/>
        <w:ind w:leftChars="0"/>
        <w:rPr>
          <w:rFonts w:hint="eastAsia" w:cs="宋体"/>
          <w:b/>
          <w:sz w:val="24"/>
          <w:szCs w:val="21"/>
          <w:lang w:eastAsia="zh-CN"/>
        </w:rPr>
      </w:pPr>
    </w:p>
    <w:p>
      <w:pPr>
        <w:numPr>
          <w:ilvl w:val="0"/>
          <w:numId w:val="0"/>
        </w:numPr>
        <w:spacing w:before="156" w:beforeLines="50" w:line="360" w:lineRule="auto"/>
        <w:ind w:leftChars="0"/>
        <w:rPr>
          <w:rFonts w:cs="宋体"/>
          <w:b/>
          <w:sz w:val="24"/>
          <w:szCs w:val="21"/>
        </w:rPr>
      </w:pPr>
      <w:r>
        <w:rPr>
          <w:rFonts w:hint="eastAsia" w:cs="宋体"/>
          <w:b/>
          <w:sz w:val="24"/>
          <w:szCs w:val="21"/>
          <w:lang w:eastAsia="zh-CN"/>
        </w:rPr>
        <w:t>一、</w:t>
      </w:r>
      <w:r>
        <w:rPr>
          <w:rFonts w:hint="eastAsia" w:cs="宋体"/>
          <w:b/>
          <w:sz w:val="24"/>
          <w:szCs w:val="21"/>
        </w:rPr>
        <w:t>需求说明</w:t>
      </w:r>
    </w:p>
    <w:p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货物名称：防爆检验工具箱   型号：WX-GJ-FB   品牌：万曦智能</w:t>
      </w:r>
    </w:p>
    <w:tbl>
      <w:tblPr>
        <w:tblStyle w:val="6"/>
        <w:tblW w:w="87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408"/>
        <w:gridCol w:w="2256"/>
        <w:gridCol w:w="1608"/>
        <w:gridCol w:w="723"/>
        <w:gridCol w:w="1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780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</w:rPr>
              <w:t>防爆检验工具箱配置清单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产品名称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防爆气体检测仪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JD4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廊坊速瑞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含计量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防爆多功能绝缘电阻仪（防爆兆欧表）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EXIR-05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万曦智能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含计量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防爆数字钳形表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WB06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永邦科技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含计量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防爆对讲机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LS-V91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易信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防爆万用表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WB03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永邦科技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含计量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防爆接地电阻测试仪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ETCR2000B+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铱泰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含计量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防爆噪声检测仪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YSD130（A）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廊坊速瑞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含计量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防爆温湿度记录仪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YWSD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廊坊速瑞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含计量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防爆测距仪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YHJ-200J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柯安盾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含计量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防爆红外测温仪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ST980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希玛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含计量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防爆力矩扳手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300N 1/2"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途锐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含计量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防爆常用电工工具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试电笔、螺丝刀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途锐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防爆手电筒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ER1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广州正飞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防爆线锤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0.3KG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途锐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防爆手机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Ex-SP18 II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柯安盾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4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拉杆工具箱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定制</w:t>
            </w:r>
          </w:p>
        </w:tc>
        <w:tc>
          <w:tcPr>
            <w:tcW w:w="16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万曦智能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/</w:t>
            </w:r>
          </w:p>
        </w:tc>
      </w:tr>
    </w:tbl>
    <w:p/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配置1：防爆气体检测仪技术要求    规格：速瑞JD4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1、检测气体：甲烷 CH4、一氧化碳 CO、氧气 O2、二氧化碳 CO2； 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2、检测范围：CO（0～1000ppm）、 O2（0～30%Vol）、CO2（0～5.00%Vol），CH4（0.00～4.00%）；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3、分 辨 率：CO（1ppm）、O2（0.1%Vol）、CO2（0.01%）、CH4（0.01%）；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4、检测原理：电化学（O2、CO）红外（CO2）催化（CH4）；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5、检测方式：扩散式测量；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6、防爆等级：不低于Ex da ib IIC T4 Gb。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7、供货时附计量证书。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配置2：防爆多功能绝缘电阻仪（防爆兆欧表）技术要求     规格：万曦智能EXIR-05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▲1、防爆等级：EX ib IIB T5 Gb （提供国内防爆合格证书复印件）；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2、适用于测试潜在爆炸环境中的绝缘电阻和泄放电阻；Ex 测试电压：32V、100V、500V；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</w:t>
      </w:r>
      <w:r>
        <w:rPr>
          <w:rFonts w:ascii="宋体" w:hAnsi="宋体" w:cs="宋体"/>
          <w:szCs w:val="21"/>
        </w:rPr>
        <w:t>电阻测量范围：</w:t>
      </w:r>
      <w:r>
        <w:rPr>
          <w:rFonts w:hint="eastAsia" w:ascii="宋体" w:hAnsi="宋体" w:cs="宋体"/>
          <w:szCs w:val="21"/>
        </w:rPr>
        <w:t>包含</w:t>
      </w:r>
      <w:r>
        <w:rPr>
          <w:rFonts w:ascii="宋体" w:hAnsi="宋体" w:cs="宋体"/>
          <w:szCs w:val="21"/>
        </w:rPr>
        <w:t>1.999MΩ 分辨率 1k 5% +/ -5D；19.99MΩ 分辨率 10k 5% +/ -5D；199.9MΩ 分辨率 100k 5% +/ -5D；1.999GΩ 分辨率 1M 5% +/ -5D；19.99GΩ 分辨率 10M 10 %+/ - 5D。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▲4、要求测试端口在主机上方便于现场使用（提供实物图片佐证）。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5、供货时附计量证书。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配置3：防爆数字钳形表技术要求    规格：永邦科技WB06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1、最大显示：3 1/2位数字液晶显示，最大读数1999 单位显示；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2、采样速率：约每秒3次； 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3、过量程指示：显“OL”；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4、安全标准：IEC1010的600V CAT. Ⅱ和污染程度2要求；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5、直流电压测量范围：至少包含200mv、2V、20V、200V、1000V；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6、交流电压测量范围：至少包含2V、20V、200V、700V；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7、交流电流测量范围：至少包含量程2A、20A、200A、400A；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8、电阻测量范围：至少包含200Ω、2KΩ、20KΩ、200KΩ、2MΩ、20MΩ；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9、防爆标志：不低于Ex ib IIB T4 Gb。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10、供货时附计量证书。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配置4：防爆防爆对讲机技术要求   规格：易信LS-V91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1、频率范围：≥430-440MHz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2、信道间隔：12.5kHz/25kHz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3、工作电压：7.4V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4、电池容量：≥2200mAh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5、电池续航时间：≥105小时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6、外形尺寸：≤130mm×60mm×50mm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7、整机重量：≤280g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8、防爆标志：不低于Ex ib IIB T4 Gb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配置5：防爆万用表技术要求    规格：永邦科技BW03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1、显示：3999、33/4位自动极性显示和单位显示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2、采样速率：约每秒3次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3、过量程显示：显示“OL”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4、直流/交流电压测量范围：400mv、4V、40V、400V、600V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5、直流/交流电流测量范围：400uA、4000uA、40mA、400mA、10A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6、电阻测量范围：400Ω、4KΩ、40KΩ、400KΩ、4MΩ、40MΩ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7、防爆标志：不低于Ex ib IIB T5 Gb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8、供货时附计量证书。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配置6：防爆钳形接地电阻测试仪技术要求    规格：铱泰ETCR2000B+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1、电阻量程：0.01-1200Ω；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2、电阻分辨率：不低于0.001Ω；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3、电阻最高精度：不低于土1%±0.01Ω；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4、数据存储：不低于99组；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5、电流量程：至少包含0-20A,精度：不低于土1%；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6、被测电流频率：50/60Hz自动；</w:t>
      </w:r>
    </w:p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7、防爆标志：不低于Ex ia IIB T3。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8、供货时附计量证书。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配置7：防爆噪声检测仪技术要求   规格：速瑞YSD130（A）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</w:t>
      </w:r>
      <w:r>
        <w:rPr>
          <w:rFonts w:ascii="宋体" w:hAnsi="宋体" w:cs="宋体"/>
          <w:szCs w:val="21"/>
        </w:rPr>
        <w:t>测量范围声级：30dB~130dB（A） 噪声暴露：0~19.99（Pa2.h）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</w:t>
      </w:r>
      <w:r>
        <w:rPr>
          <w:rFonts w:ascii="宋体" w:hAnsi="宋体" w:cs="宋体"/>
          <w:szCs w:val="21"/>
        </w:rPr>
        <w:t>频率范围：20Hz~8kHz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</w:t>
      </w:r>
      <w:r>
        <w:rPr>
          <w:rFonts w:ascii="宋体" w:hAnsi="宋体" w:cs="宋体"/>
          <w:szCs w:val="21"/>
        </w:rPr>
        <w:t>频率计权：A计权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时间计权：F（快）、S(慢)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</w:t>
      </w:r>
      <w:r>
        <w:rPr>
          <w:rFonts w:ascii="宋体" w:hAnsi="宋体" w:cs="宋体"/>
          <w:szCs w:val="21"/>
        </w:rPr>
        <w:t>量程转换：手动（高、中、低）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</w:t>
      </w:r>
      <w:r>
        <w:rPr>
          <w:rFonts w:ascii="宋体" w:hAnsi="宋体" w:cs="宋体"/>
          <w:szCs w:val="21"/>
        </w:rPr>
        <w:t>传声器上准许最高声压级：135dB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</w:t>
      </w:r>
      <w:r>
        <w:rPr>
          <w:rFonts w:ascii="宋体" w:hAnsi="宋体" w:cs="宋体"/>
          <w:szCs w:val="21"/>
        </w:rPr>
        <w:t>防爆标志：</w:t>
      </w:r>
      <w:r>
        <w:rPr>
          <w:rFonts w:hint="eastAsia" w:ascii="宋体" w:hAnsi="宋体" w:cs="宋体"/>
          <w:szCs w:val="21"/>
        </w:rPr>
        <w:t>不低于Ex ib IIC T5 Gb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8、供货时附计量证书。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配置8：防爆温湿度记录仪技术要求    规格：速瑞YWSD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1、温度量程：少包含-40℃～70℃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2、测量精度：≤±3％RH （40%-60%范围之内）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3、分 辨 率：0.1℃；0.1% RH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4、显示方式：LCD显示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5、采 样 率：1s~24h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6、数据存储：最大存储32700个数据。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7、防爆等级：不低于</w:t>
      </w:r>
      <w:r>
        <w:rPr>
          <w:rFonts w:hint="eastAsia" w:ascii="宋体" w:hAnsi="宋体" w:eastAsia="宋体" w:cs="宋体"/>
          <w:szCs w:val="21"/>
        </w:rPr>
        <w:t>Ex ib IIC T5 Gb</w:t>
      </w:r>
      <w:r>
        <w:rPr>
          <w:rFonts w:hint="eastAsia" w:ascii="宋体" w:hAnsi="宋体" w:cs="宋体"/>
          <w:szCs w:val="21"/>
        </w:rPr>
        <w:t>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8、供货时附计量证书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配置9：防爆测距仪技术要求   规格：柯安盾YHJ-200J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1、量程：覆盖0.05-200m；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2、精度：优于±3mm；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3、测量单位：包括m/mm；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4、具有单次测量、连续测量、最大/最小值测量、面积/体积测量、间接勾股定理测量功能；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5、防护等级：优于IP67；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6、历史数据：不少于20组；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7、具有待机自动关闭激光和自动关机功能；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8、具有防爆标志：包括Ex ia IIC T4 Ga。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9、供货时附计量证书。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配置10：防爆红外测温仪技术要求   规格：希玛ST980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1、测量温度范围：-50~980℃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2、测量精确度：50°C~0°C，≤±3°C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3、重复性：≤士1%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4、分辨率: ≤士°C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5、防爆标志：不低于Ex ib ⅡB T4 Gb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6、供货时附计量证书。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配置11：防爆力矩扳手技术要求  </w:t>
      </w:r>
    </w:p>
    <w:p>
      <w:pPr>
        <w:pStyle w:val="11"/>
        <w:numPr>
          <w:ilvl w:val="0"/>
          <w:numId w:val="2"/>
        </w:num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规格：300N 1/2" </w:t>
      </w:r>
    </w:p>
    <w:p>
      <w:pPr>
        <w:pStyle w:val="11"/>
        <w:numPr>
          <w:ilvl w:val="0"/>
          <w:numId w:val="2"/>
        </w:num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长度 460mm</w:t>
      </w:r>
    </w:p>
    <w:p>
      <w:pPr>
        <w:pStyle w:val="11"/>
        <w:numPr>
          <w:ilvl w:val="0"/>
          <w:numId w:val="2"/>
        </w:num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采用防爆材质</w:t>
      </w:r>
    </w:p>
    <w:p>
      <w:pPr>
        <w:pStyle w:val="11"/>
        <w:numPr>
          <w:ilvl w:val="0"/>
          <w:numId w:val="2"/>
        </w:num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供货时附计量证书。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配置12：防爆电工工具技术要求   </w:t>
      </w:r>
    </w:p>
    <w:p>
      <w:pPr>
        <w:pStyle w:val="11"/>
        <w:numPr>
          <w:ilvl w:val="0"/>
          <w:numId w:val="3"/>
        </w:num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防爆试电笔1把，6.35x100mm</w:t>
      </w:r>
    </w:p>
    <w:p>
      <w:pPr>
        <w:pStyle w:val="11"/>
        <w:numPr>
          <w:ilvl w:val="0"/>
          <w:numId w:val="3"/>
        </w:num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防爆螺丝刀2把，75m十字/一字型各一把</w:t>
      </w:r>
    </w:p>
    <w:p>
      <w:pPr>
        <w:pStyle w:val="11"/>
        <w:numPr>
          <w:ilvl w:val="0"/>
          <w:numId w:val="3"/>
        </w:numPr>
      </w:pPr>
      <w:r>
        <w:rPr>
          <w:rFonts w:hint="eastAsia"/>
        </w:rPr>
        <w:t>采用防爆材质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配置13：防爆手电筒技术要求    规格：正飞ER1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1、最大射程：200(含)-500m(不含)；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2、连续照明时间：普通光不低于150小时；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3、防水等级：不低于IP65；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4、档位：不低于5位；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5、防爆标志：不低于Ex d ⅡC T6 Gb。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配置14：防爆线锤技术要求  </w:t>
      </w:r>
    </w:p>
    <w:p>
      <w:pPr>
        <w:pStyle w:val="11"/>
        <w:numPr>
          <w:ilvl w:val="0"/>
          <w:numId w:val="4"/>
        </w:num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规格：0.3KG</w:t>
      </w:r>
    </w:p>
    <w:p>
      <w:pPr>
        <w:pStyle w:val="11"/>
        <w:numPr>
          <w:ilvl w:val="0"/>
          <w:numId w:val="4"/>
        </w:num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采用防爆材质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配置15：防爆手机技术要求  规格：柯安盾Ex-SP18 II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1、内存：≥8GB+256GB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2、双卡：双卡双待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3、屏幕尺寸：≥6.67英寸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4、分辨率：≥FHD+ 2400*1080 像素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5、照片分辨率：后置摄像头照片分辨率：最大可支持10944 × 14592像素；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前置摄像头照片分辨率：最大可支持 6528 × 4896像素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6、摄像分辨率：后置摄像头：最大可支持3840 × 2160像素 ；</w:t>
      </w:r>
    </w:p>
    <w:p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前置摄像头：最大可支持2520 × 1080像素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7、电池类型：防爆锂电池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8、电池容量：≥4800mAh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9、防爆标志：不低于Ex ib IIC T4 Gb / Ex ib IIIC T130℃ Db</w:t>
      </w:r>
    </w:p>
    <w:p>
      <w:pPr>
        <w:spacing w:before="156" w:beforeLines="50"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配置16：防护工具箱技术要求 </w:t>
      </w:r>
    </w:p>
    <w:p>
      <w:pPr>
        <w:spacing w:line="360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1、防尘，防水，防震，即使在恶劣的环境中也能有效保护设备；</w:t>
      </w:r>
    </w:p>
    <w:p>
      <w:pPr>
        <w:spacing w:line="360" w:lineRule="auto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szCs w:val="21"/>
        </w:rPr>
        <w:t>2、定制减震内衬，有效防护仪器仪表及工具。</w:t>
      </w:r>
    </w:p>
    <w:p>
      <w:pPr>
        <w:spacing w:line="360" w:lineRule="auto"/>
        <w:rPr>
          <w:rFonts w:hint="eastAsia" w:cs="宋体"/>
          <w:b/>
          <w:sz w:val="24"/>
          <w:szCs w:val="21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cs="宋体"/>
          <w:b/>
          <w:sz w:val="24"/>
          <w:szCs w:val="21"/>
        </w:rPr>
      </w:pPr>
      <w:r>
        <w:rPr>
          <w:rFonts w:hint="eastAsia" w:cs="宋体"/>
          <w:b/>
          <w:sz w:val="24"/>
          <w:szCs w:val="21"/>
          <w:lang w:eastAsia="zh-CN"/>
        </w:rPr>
        <w:t>二、</w:t>
      </w:r>
      <w:r>
        <w:rPr>
          <w:rFonts w:hint="eastAsia" w:cs="宋体"/>
          <w:b/>
          <w:sz w:val="24"/>
          <w:szCs w:val="21"/>
        </w:rPr>
        <w:t>商务要求</w:t>
      </w:r>
    </w:p>
    <w:p>
      <w:pPr>
        <w:numPr>
          <w:ilvl w:val="1"/>
          <w:numId w:val="5"/>
        </w:numPr>
        <w:spacing w:line="360" w:lineRule="auto"/>
        <w:ind w:firstLine="482" w:firstLineChars="200"/>
        <w:rPr>
          <w:rFonts w:cs="宋体"/>
          <w:b/>
          <w:sz w:val="24"/>
          <w:szCs w:val="21"/>
        </w:rPr>
      </w:pPr>
      <w:r>
        <w:rPr>
          <w:rFonts w:hint="eastAsia" w:cs="宋体"/>
          <w:b/>
          <w:sz w:val="24"/>
          <w:szCs w:val="21"/>
        </w:rPr>
        <w:t>交货要求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（1）</w:t>
      </w:r>
      <w:r>
        <w:rPr>
          <w:sz w:val="24"/>
          <w:szCs w:val="21"/>
        </w:rPr>
        <w:t>交货</w:t>
      </w:r>
      <w:r>
        <w:rPr>
          <w:rFonts w:hint="eastAsia"/>
          <w:sz w:val="24"/>
          <w:szCs w:val="21"/>
        </w:rPr>
        <w:t>期：自合同签订之日起</w:t>
      </w:r>
      <w:r>
        <w:rPr>
          <w:rFonts w:hint="eastAsia"/>
          <w:sz w:val="24"/>
          <w:szCs w:val="21"/>
          <w:lang w:val="en-US" w:eastAsia="zh-CN"/>
        </w:rPr>
        <w:t>30</w:t>
      </w:r>
      <w:r>
        <w:rPr>
          <w:rFonts w:hint="eastAsia"/>
          <w:sz w:val="24"/>
          <w:szCs w:val="21"/>
        </w:rPr>
        <w:t>日内完成交付。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（2）</w:t>
      </w:r>
      <w:r>
        <w:rPr>
          <w:sz w:val="24"/>
          <w:szCs w:val="21"/>
        </w:rPr>
        <w:t>交货地点：</w:t>
      </w:r>
      <w:r>
        <w:rPr>
          <w:rFonts w:hint="eastAsia"/>
          <w:sz w:val="24"/>
          <w:szCs w:val="21"/>
        </w:rPr>
        <w:t>采购人指定地点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/>
          <w:sz w:val="24"/>
          <w:szCs w:val="21"/>
        </w:rPr>
        <w:t>（3）交货方式：现场交付，送货上门</w:t>
      </w:r>
    </w:p>
    <w:p>
      <w:pPr>
        <w:numPr>
          <w:ilvl w:val="1"/>
          <w:numId w:val="5"/>
        </w:numPr>
        <w:spacing w:line="360" w:lineRule="auto"/>
        <w:ind w:firstLine="482" w:firstLineChars="200"/>
        <w:rPr>
          <w:rFonts w:cs="宋体"/>
          <w:b/>
          <w:sz w:val="24"/>
          <w:szCs w:val="21"/>
        </w:rPr>
      </w:pPr>
      <w:r>
        <w:rPr>
          <w:rFonts w:hint="eastAsia" w:cs="宋体"/>
          <w:b/>
          <w:sz w:val="24"/>
          <w:szCs w:val="21"/>
        </w:rPr>
        <w:t>验收</w:t>
      </w:r>
    </w:p>
    <w:p>
      <w:pPr>
        <w:spacing w:line="360" w:lineRule="auto"/>
        <w:ind w:firstLine="480" w:firstLineChars="200"/>
        <w:rPr>
          <w:sz w:val="24"/>
          <w:szCs w:val="21"/>
        </w:rPr>
      </w:pPr>
      <w:r>
        <w:rPr>
          <w:rFonts w:hint="eastAsia" w:cs="宋体"/>
          <w:sz w:val="24"/>
          <w:szCs w:val="21"/>
        </w:rPr>
        <w:t>（</w:t>
      </w:r>
      <w:r>
        <w:rPr>
          <w:rFonts w:hint="eastAsia"/>
          <w:sz w:val="24"/>
          <w:szCs w:val="21"/>
        </w:rPr>
        <w:t>1</w:t>
      </w:r>
      <w:r>
        <w:rPr>
          <w:rFonts w:hint="eastAsia" w:cs="宋体"/>
          <w:sz w:val="24"/>
          <w:szCs w:val="21"/>
        </w:rPr>
        <w:t>）采购人组成验收小组按国家有关规定、规范进行验收，必要时邀请相关的专业人员或机构参与验收。</w:t>
      </w:r>
    </w:p>
    <w:p>
      <w:pPr>
        <w:spacing w:line="360" w:lineRule="auto"/>
        <w:ind w:firstLine="480" w:firstLineChars="200"/>
        <w:rPr>
          <w:rFonts w:cs="宋体"/>
          <w:sz w:val="24"/>
          <w:szCs w:val="21"/>
        </w:rPr>
      </w:pPr>
      <w:r>
        <w:rPr>
          <w:rFonts w:hint="eastAsia" w:cs="宋体"/>
          <w:sz w:val="24"/>
          <w:szCs w:val="21"/>
        </w:rPr>
        <w:t>（</w:t>
      </w:r>
      <w:r>
        <w:rPr>
          <w:rFonts w:hint="eastAsia"/>
          <w:sz w:val="24"/>
          <w:szCs w:val="21"/>
        </w:rPr>
        <w:t>2</w:t>
      </w:r>
      <w:r>
        <w:rPr>
          <w:rFonts w:hint="eastAsia" w:cs="宋体"/>
          <w:sz w:val="24"/>
          <w:szCs w:val="21"/>
        </w:rPr>
        <w:t>）货物为原厂商未启封全新包装，具出厂合格证，序列号、包装箱号与出厂批号一致，并可追索查阅，所有随货物的附件必须齐全。</w:t>
      </w:r>
    </w:p>
    <w:p>
      <w:pPr>
        <w:spacing w:line="360" w:lineRule="auto"/>
        <w:ind w:firstLine="480" w:firstLineChars="200"/>
        <w:rPr>
          <w:rFonts w:hint="eastAsia" w:cs="宋体"/>
          <w:sz w:val="24"/>
          <w:szCs w:val="21"/>
        </w:rPr>
      </w:pPr>
      <w:r>
        <w:rPr>
          <w:rFonts w:hint="eastAsia" w:cs="宋体"/>
          <w:sz w:val="24"/>
          <w:szCs w:val="21"/>
        </w:rPr>
        <w:t>（</w:t>
      </w:r>
      <w:r>
        <w:rPr>
          <w:rFonts w:cs="宋体"/>
          <w:sz w:val="24"/>
          <w:szCs w:val="21"/>
        </w:rPr>
        <w:t>3</w:t>
      </w:r>
      <w:r>
        <w:rPr>
          <w:rFonts w:hint="eastAsia" w:cs="宋体"/>
          <w:sz w:val="24"/>
          <w:szCs w:val="21"/>
        </w:rPr>
        <w:t>）如果产品验收不合格或经计量不合格的，需方有权作更换或退货处理，并由供应商承担全部费用（包括运输、计量、服务费等）。</w:t>
      </w:r>
    </w:p>
    <w:p>
      <w:pPr>
        <w:numPr>
          <w:ilvl w:val="1"/>
          <w:numId w:val="5"/>
        </w:numPr>
        <w:spacing w:line="360" w:lineRule="auto"/>
        <w:ind w:firstLine="482" w:firstLineChars="200"/>
        <w:rPr>
          <w:rFonts w:hint="default" w:eastAsia="宋体"/>
          <w:b/>
          <w:bCs/>
          <w:lang w:val="en-US" w:eastAsia="zh-CN"/>
        </w:rPr>
      </w:pPr>
      <w:r>
        <w:rPr>
          <w:rFonts w:hint="eastAsia" w:cs="宋体"/>
          <w:b/>
          <w:bCs/>
          <w:sz w:val="24"/>
          <w:szCs w:val="21"/>
          <w:lang w:val="en-US" w:eastAsia="zh-CN"/>
        </w:rPr>
        <w:t>培训</w:t>
      </w:r>
    </w:p>
    <w:p>
      <w:pPr>
        <w:pStyle w:val="8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现场培训一次</w:t>
      </w:r>
    </w:p>
    <w:p>
      <w:pPr>
        <w:numPr>
          <w:ilvl w:val="1"/>
          <w:numId w:val="5"/>
        </w:numPr>
        <w:spacing w:line="360" w:lineRule="auto"/>
        <w:ind w:firstLine="482" w:firstLineChars="200"/>
        <w:rPr>
          <w:rFonts w:cs="宋体"/>
          <w:b/>
          <w:sz w:val="24"/>
          <w:szCs w:val="21"/>
        </w:rPr>
      </w:pPr>
      <w:r>
        <w:rPr>
          <w:rFonts w:hint="eastAsia" w:cs="宋体"/>
          <w:b/>
          <w:sz w:val="24"/>
          <w:szCs w:val="21"/>
        </w:rPr>
        <w:t>质保期及售后服务要求</w:t>
      </w:r>
    </w:p>
    <w:p>
      <w:pPr>
        <w:spacing w:line="360" w:lineRule="auto"/>
        <w:ind w:firstLine="480" w:firstLineChars="200"/>
        <w:rPr>
          <w:rFonts w:cs="宋体"/>
          <w:sz w:val="24"/>
          <w:szCs w:val="21"/>
        </w:rPr>
      </w:pPr>
      <w:r>
        <w:rPr>
          <w:rFonts w:hint="eastAsia" w:cs="宋体"/>
          <w:sz w:val="24"/>
          <w:szCs w:val="21"/>
        </w:rPr>
        <w:t>（</w:t>
      </w:r>
      <w:r>
        <w:rPr>
          <w:rFonts w:cs="宋体"/>
          <w:sz w:val="24"/>
          <w:szCs w:val="21"/>
        </w:rPr>
        <w:t>1</w:t>
      </w:r>
      <w:r>
        <w:rPr>
          <w:rFonts w:hint="eastAsia" w:cs="宋体"/>
          <w:sz w:val="24"/>
          <w:szCs w:val="21"/>
        </w:rPr>
        <w:t>）质保期自货物供货并验收合格签字之日起</w:t>
      </w:r>
      <w:r>
        <w:rPr>
          <w:rFonts w:hint="eastAsia" w:cs="宋体"/>
          <w:sz w:val="24"/>
          <w:szCs w:val="21"/>
          <w:lang w:eastAsia="zh-CN"/>
        </w:rPr>
        <w:t>一</w:t>
      </w:r>
      <w:r>
        <w:rPr>
          <w:rFonts w:hint="eastAsia" w:cs="宋体"/>
          <w:sz w:val="24"/>
          <w:szCs w:val="21"/>
        </w:rPr>
        <w:t>年。</w:t>
      </w:r>
    </w:p>
    <w:p>
      <w:pPr>
        <w:spacing w:line="360" w:lineRule="auto"/>
        <w:ind w:firstLine="480" w:firstLineChars="200"/>
        <w:rPr>
          <w:rFonts w:cs="宋体"/>
          <w:sz w:val="24"/>
          <w:szCs w:val="21"/>
        </w:rPr>
      </w:pPr>
      <w:r>
        <w:rPr>
          <w:rFonts w:hint="eastAsia" w:cs="宋体"/>
          <w:sz w:val="24"/>
          <w:szCs w:val="21"/>
        </w:rPr>
        <w:t>（2）供应商须设有7×24小时维修服务电话，负责解答用户在货物使用中遇到的问题，及时提出解决问题的建议和方法。</w:t>
      </w:r>
    </w:p>
    <w:p>
      <w:pPr>
        <w:spacing w:line="360" w:lineRule="auto"/>
        <w:ind w:firstLine="480" w:firstLineChars="200"/>
        <w:rPr>
          <w:rFonts w:cs="宋体"/>
          <w:sz w:val="24"/>
          <w:szCs w:val="21"/>
        </w:rPr>
      </w:pPr>
      <w:r>
        <w:rPr>
          <w:rFonts w:hint="eastAsia" w:cs="宋体"/>
          <w:sz w:val="24"/>
          <w:szCs w:val="21"/>
        </w:rPr>
        <w:t>（3）成交供应商应向采购人提供全方位、及时而有效的技术支持和服务。</w:t>
      </w:r>
    </w:p>
    <w:p>
      <w:pPr>
        <w:numPr>
          <w:ilvl w:val="1"/>
          <w:numId w:val="5"/>
        </w:numPr>
        <w:spacing w:line="360" w:lineRule="auto"/>
        <w:ind w:firstLine="482" w:firstLineChars="200"/>
        <w:rPr>
          <w:rFonts w:cs="宋体"/>
          <w:b/>
          <w:sz w:val="24"/>
          <w:szCs w:val="21"/>
        </w:rPr>
      </w:pPr>
      <w:r>
        <w:rPr>
          <w:rFonts w:hint="eastAsia" w:cs="宋体"/>
          <w:b/>
          <w:sz w:val="24"/>
          <w:szCs w:val="21"/>
        </w:rPr>
        <w:t>付款方式：</w:t>
      </w:r>
    </w:p>
    <w:p>
      <w:pPr>
        <w:spacing w:line="360" w:lineRule="auto"/>
        <w:ind w:firstLine="480" w:firstLineChars="200"/>
        <w:rPr>
          <w:rFonts w:cs="宋体"/>
          <w:sz w:val="24"/>
          <w:szCs w:val="21"/>
        </w:rPr>
      </w:pPr>
      <w:r>
        <w:rPr>
          <w:rFonts w:hint="eastAsia" w:cs="宋体"/>
          <w:sz w:val="24"/>
          <w:szCs w:val="21"/>
        </w:rPr>
        <w:t>（1）</w:t>
      </w:r>
      <w:r>
        <w:rPr>
          <w:rFonts w:hint="eastAsia" w:ascii="宋体" w:hAnsi="宋体" w:cs="宋体"/>
          <w:kern w:val="0"/>
          <w:sz w:val="24"/>
        </w:rPr>
        <w:t>本项目合同签署生效后5日内，采购人在收到成交供应商提供的合同总价30%的正式“</w:t>
      </w:r>
      <w:r>
        <w:rPr>
          <w:rFonts w:hint="eastAsia" w:ascii="宋体" w:hAnsi="宋体" w:cs="宋体"/>
          <w:kern w:val="0"/>
          <w:sz w:val="24"/>
          <w:highlight w:val="yellow"/>
        </w:rPr>
        <w:t>增值税专用</w:t>
      </w:r>
      <w:r>
        <w:rPr>
          <w:rFonts w:hint="eastAsia" w:ascii="宋体" w:hAnsi="宋体" w:cs="宋体"/>
          <w:kern w:val="0"/>
          <w:sz w:val="24"/>
        </w:rPr>
        <w:t>”发票后，在30个日历日内，向乙方支付合同总价的30%作为本项目预付款。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宋体"/>
          <w:sz w:val="24"/>
          <w:szCs w:val="21"/>
        </w:rPr>
      </w:pPr>
      <w:r>
        <w:rPr>
          <w:rFonts w:hint="eastAsia" w:cs="宋体"/>
          <w:sz w:val="24"/>
          <w:szCs w:val="21"/>
        </w:rPr>
        <w:t>（2）合同生效后，成交供应商产品到货并验收合格后，</w:t>
      </w:r>
      <w:r>
        <w:rPr>
          <w:rFonts w:hint="eastAsia" w:ascii="宋体" w:hAnsi="宋体" w:cs="宋体"/>
          <w:kern w:val="0"/>
          <w:sz w:val="24"/>
        </w:rPr>
        <w:t>采购人收到</w:t>
      </w:r>
      <w:r>
        <w:rPr>
          <w:rFonts w:hint="eastAsia" w:cs="宋体"/>
          <w:sz w:val="24"/>
          <w:szCs w:val="21"/>
        </w:rPr>
        <w:t>成交供应商</w:t>
      </w:r>
      <w:r>
        <w:rPr>
          <w:rFonts w:hint="eastAsia" w:ascii="宋体" w:hAnsi="宋体" w:cs="宋体"/>
          <w:kern w:val="0"/>
          <w:sz w:val="24"/>
        </w:rPr>
        <w:t>开具的合同总价70%的合法正规的“</w:t>
      </w:r>
      <w:r>
        <w:rPr>
          <w:rFonts w:hint="eastAsia" w:ascii="宋体" w:hAnsi="宋体" w:cs="宋体"/>
          <w:kern w:val="0"/>
          <w:sz w:val="24"/>
          <w:highlight w:val="yellow"/>
        </w:rPr>
        <w:t>增值税专用</w:t>
      </w:r>
      <w:r>
        <w:rPr>
          <w:rFonts w:hint="eastAsia" w:ascii="宋体" w:hAnsi="宋体" w:cs="宋体"/>
          <w:kern w:val="0"/>
          <w:sz w:val="24"/>
        </w:rPr>
        <w:t>”发票后，在30个日历日内，由采购人向</w:t>
      </w:r>
      <w:r>
        <w:rPr>
          <w:rFonts w:hint="eastAsia" w:cs="宋体"/>
          <w:sz w:val="24"/>
          <w:szCs w:val="21"/>
        </w:rPr>
        <w:t>成交供应商</w:t>
      </w:r>
      <w:r>
        <w:rPr>
          <w:rFonts w:hint="eastAsia" w:ascii="Times New Roman" w:hAnsi="Times New Roman" w:eastAsia="宋体" w:cs="宋体"/>
          <w:sz w:val="24"/>
          <w:szCs w:val="21"/>
        </w:rPr>
        <w:t>支付合同总价的</w:t>
      </w:r>
      <w:r>
        <w:rPr>
          <w:rFonts w:hint="eastAsia" w:cs="宋体"/>
          <w:sz w:val="24"/>
          <w:szCs w:val="21"/>
          <w:lang w:val="en-US" w:eastAsia="zh-CN"/>
        </w:rPr>
        <w:t>70</w:t>
      </w:r>
      <w:r>
        <w:rPr>
          <w:rFonts w:hint="eastAsia" w:ascii="Times New Roman" w:hAnsi="Times New Roman" w:eastAsia="宋体" w:cs="宋体"/>
          <w:sz w:val="24"/>
          <w:szCs w:val="21"/>
        </w:rPr>
        <w:t>%。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宋体"/>
          <w:sz w:val="24"/>
          <w:szCs w:val="21"/>
        </w:rPr>
      </w:pPr>
      <w:r>
        <w:rPr>
          <w:rFonts w:hint="eastAsia" w:ascii="Times New Roman" w:hAnsi="Times New Roman" w:eastAsia="宋体" w:cs="宋体"/>
          <w:sz w:val="24"/>
          <w:szCs w:val="21"/>
        </w:rPr>
        <w:t>（</w:t>
      </w:r>
      <w:r>
        <w:rPr>
          <w:rFonts w:hint="eastAsia" w:cs="宋体"/>
          <w:sz w:val="24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宋体"/>
          <w:sz w:val="24"/>
          <w:szCs w:val="21"/>
        </w:rPr>
        <w:t>）成交供应商需开具相应金额的正式“</w:t>
      </w:r>
      <w:r>
        <w:rPr>
          <w:rFonts w:hint="eastAsia" w:ascii="Times New Roman" w:hAnsi="Times New Roman" w:eastAsia="宋体" w:cs="宋体"/>
          <w:sz w:val="24"/>
          <w:szCs w:val="21"/>
          <w:highlight w:val="yellow"/>
        </w:rPr>
        <w:t>增值税专用</w:t>
      </w:r>
      <w:r>
        <w:rPr>
          <w:rFonts w:hint="eastAsia" w:ascii="Times New Roman" w:hAnsi="Times New Roman" w:eastAsia="宋体" w:cs="宋体"/>
          <w:sz w:val="24"/>
          <w:szCs w:val="21"/>
        </w:rPr>
        <w:t>”发票。</w:t>
      </w:r>
    </w:p>
    <w:p>
      <w:pPr>
        <w:spacing w:line="360" w:lineRule="auto"/>
        <w:ind w:firstLine="480" w:firstLineChars="200"/>
        <w:rPr>
          <w:rFonts w:hint="eastAsia" w:ascii="Times New Roman" w:hAnsi="Times New Roman" w:eastAsia="宋体" w:cs="宋体"/>
          <w:sz w:val="24"/>
          <w:szCs w:val="21"/>
        </w:rPr>
      </w:pPr>
      <w:r>
        <w:rPr>
          <w:rFonts w:hint="eastAsia" w:ascii="Times New Roman" w:hAnsi="Times New Roman" w:eastAsia="宋体" w:cs="宋体"/>
          <w:sz w:val="24"/>
          <w:szCs w:val="21"/>
        </w:rPr>
        <w:t>（</w:t>
      </w:r>
      <w:r>
        <w:rPr>
          <w:rFonts w:hint="eastAsia" w:cs="宋体"/>
          <w:sz w:val="24"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宋体"/>
          <w:sz w:val="24"/>
          <w:szCs w:val="21"/>
        </w:rPr>
        <w:t>）付款形式：采用支票、银行汇付（含电汇）等形式。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A41428"/>
    <w:multiLevelType w:val="multilevel"/>
    <w:tmpl w:val="10A4142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3BC6533B"/>
    <w:multiLevelType w:val="multilevel"/>
    <w:tmpl w:val="3BC6533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52B36FE0"/>
    <w:multiLevelType w:val="multilevel"/>
    <w:tmpl w:val="52B36FE0"/>
    <w:lvl w:ilvl="0" w:tentative="0">
      <w:start w:val="2"/>
      <w:numFmt w:val="decimal"/>
      <w:suff w:val="space"/>
      <w:lvlText w:val="%1"/>
      <w:lvlJc w:val="left"/>
      <w:pPr>
        <w:tabs>
          <w:tab w:val="left" w:pos="0"/>
        </w:tabs>
        <w:ind w:left="0" w:firstLine="40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suff w:val="space"/>
      <w:lvlText w:val="%1.%2"/>
      <w:lvlJc w:val="left"/>
      <w:pPr>
        <w:ind w:left="0" w:firstLine="400"/>
      </w:pPr>
      <w:rPr>
        <w:rFonts w:hint="eastAsia"/>
      </w:rPr>
    </w:lvl>
    <w:lvl w:ilvl="2" w:tentative="0">
      <w:start w:val="1"/>
      <w:numFmt w:val="decimal"/>
      <w:suff w:val="space"/>
      <w:lvlText w:val="%1.%2.%3"/>
      <w:lvlJc w:val="left"/>
      <w:pPr>
        <w:ind w:left="309" w:firstLine="400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3">
    <w:nsid w:val="5B73175F"/>
    <w:multiLevelType w:val="multilevel"/>
    <w:tmpl w:val="5B73175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bCs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4">
    <w:nsid w:val="67BC5E12"/>
    <w:multiLevelType w:val="multilevel"/>
    <w:tmpl w:val="67BC5E12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E8F"/>
    <w:rsid w:val="000D25FF"/>
    <w:rsid w:val="000D7A54"/>
    <w:rsid w:val="000F6655"/>
    <w:rsid w:val="001516DB"/>
    <w:rsid w:val="00200190"/>
    <w:rsid w:val="002064A1"/>
    <w:rsid w:val="00221247"/>
    <w:rsid w:val="00284685"/>
    <w:rsid w:val="00284D24"/>
    <w:rsid w:val="00313933"/>
    <w:rsid w:val="00343D43"/>
    <w:rsid w:val="003779F1"/>
    <w:rsid w:val="004018A7"/>
    <w:rsid w:val="00472010"/>
    <w:rsid w:val="004E5147"/>
    <w:rsid w:val="00550821"/>
    <w:rsid w:val="00585DB3"/>
    <w:rsid w:val="005A3759"/>
    <w:rsid w:val="005A66D6"/>
    <w:rsid w:val="00606A4A"/>
    <w:rsid w:val="00620FF0"/>
    <w:rsid w:val="006727DA"/>
    <w:rsid w:val="00676ED3"/>
    <w:rsid w:val="006C0566"/>
    <w:rsid w:val="006D067C"/>
    <w:rsid w:val="007665B4"/>
    <w:rsid w:val="00773350"/>
    <w:rsid w:val="00823D73"/>
    <w:rsid w:val="00861C1F"/>
    <w:rsid w:val="008F5148"/>
    <w:rsid w:val="009216A1"/>
    <w:rsid w:val="009338F3"/>
    <w:rsid w:val="00954ECD"/>
    <w:rsid w:val="00954F9B"/>
    <w:rsid w:val="009B1611"/>
    <w:rsid w:val="009C55B4"/>
    <w:rsid w:val="009F6FA4"/>
    <w:rsid w:val="00A061F9"/>
    <w:rsid w:val="00A23E8F"/>
    <w:rsid w:val="00A463AF"/>
    <w:rsid w:val="00B74276"/>
    <w:rsid w:val="00B766E6"/>
    <w:rsid w:val="00CC6D4E"/>
    <w:rsid w:val="00D06BEE"/>
    <w:rsid w:val="00D21DE5"/>
    <w:rsid w:val="00D335B9"/>
    <w:rsid w:val="00D33C55"/>
    <w:rsid w:val="00DA1CD0"/>
    <w:rsid w:val="00DD7C13"/>
    <w:rsid w:val="00E024B9"/>
    <w:rsid w:val="00E70A3D"/>
    <w:rsid w:val="00EA2470"/>
    <w:rsid w:val="00EA30D5"/>
    <w:rsid w:val="00EC0F88"/>
    <w:rsid w:val="00FA7608"/>
    <w:rsid w:val="00FC0687"/>
    <w:rsid w:val="00FD5BDC"/>
    <w:rsid w:val="03477E65"/>
    <w:rsid w:val="16CB2FD9"/>
    <w:rsid w:val="1D0E7866"/>
    <w:rsid w:val="29EB5F7D"/>
    <w:rsid w:val="371C79BE"/>
    <w:rsid w:val="45BD1F64"/>
    <w:rsid w:val="49101673"/>
    <w:rsid w:val="49894D7E"/>
    <w:rsid w:val="4A476A9E"/>
    <w:rsid w:val="4EA45303"/>
    <w:rsid w:val="5916001A"/>
    <w:rsid w:val="5BD2662E"/>
    <w:rsid w:val="653A1E7A"/>
    <w:rsid w:val="6F216ECF"/>
    <w:rsid w:val="7A000743"/>
    <w:rsid w:val="7B000216"/>
    <w:rsid w:val="7D501F60"/>
    <w:rsid w:val="7DA6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outlineLvl w:val="1"/>
    </w:p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样式 小四"/>
    <w:qFormat/>
    <w:uiPriority w:val="99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Calibri"/>
      <w:kern w:val="0"/>
      <w:sz w:val="24"/>
      <w:szCs w:val="24"/>
      <w:lang w:val="en-US" w:eastAsia="zh-CN" w:bidi="ar-SA"/>
    </w:rPr>
  </w:style>
  <w:style w:type="character" w:customStyle="1" w:styleId="13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1026</Characters>
  <Lines>8</Lines>
  <Paragraphs>2</Paragraphs>
  <TotalTime>10</TotalTime>
  <ScaleCrop>false</ScaleCrop>
  <LinksUpToDate>false</LinksUpToDate>
  <CharactersWithSpaces>1203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2021-06-18T06:26:00Z</dcterms:created>
  <dc:creator>峣峣</dc:creator>
  <cp:lastModifiedBy>Administrator</cp:lastModifiedBy>
  <dcterms:modified xsi:type="dcterms:W3CDTF">2025-02-17T08:25:26Z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1D6EFFB684FA434C850A019D2579121A</vt:lpwstr>
  </property>
</Properties>
</file>